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Risk Assessment</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Name </w:t>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ind w:firstLine="720"/>
        <w:jc w:val="center"/>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Risk Assessment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Medical Technologies plc (MTech) primary objective is to manufactures, markets, and sells sophisticated cancer screening instruments (CSI). MTech</w:t>
      </w:r>
      <w:r>
        <w:rPr>
          <w:rFonts w:ascii="Times New Roman" w:cs="Times New Roman" w:hAnsi="Times New Roman"/>
          <w:sz w:val="24"/>
          <w:szCs w:val="24"/>
        </w:rPr>
        <w:t xml:space="preserve"> has a world-wide market for the CSI and manufactures between 500 and 600 sets per year. Similarly, the company thrives at calibration and repair of CSIs. In that regards the company seek to acquire a major subassembly of the CSI is a scanner unit, weighin</w:t>
      </w:r>
      <w:r>
        <w:rPr>
          <w:rFonts w:ascii="Times New Roman" w:cs="Times New Roman" w:hAnsi="Times New Roman"/>
          <w:sz w:val="24"/>
          <w:szCs w:val="24"/>
        </w:rPr>
        <w:t xml:space="preserve">g 25kg with dimensions 1m x 1.5m x 0.75m and costs £15,000, that contains radio-active components and is purchased from a company in Germany; ScannerTech which is located in a small town 5 kilometers north of Leipzig. The repair and calibration of the CSI </w:t>
      </w:r>
      <w:r>
        <w:rPr>
          <w:rFonts w:ascii="Times New Roman" w:cs="Times New Roman" w:hAnsi="Times New Roman"/>
          <w:sz w:val="24"/>
          <w:szCs w:val="24"/>
        </w:rPr>
        <w:t xml:space="preserve">always involves the fitting of a new scanner with MTech plc providing a guaranteed turnaround time of 10 days.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With the above descriptive the company will face risks during supply of the scanner unit used during repair and calibration of every CSI. The ri</w:t>
      </w:r>
      <w:r>
        <w:rPr>
          <w:rFonts w:ascii="Times New Roman" w:cs="Times New Roman" w:hAnsi="Times New Roman"/>
          <w:sz w:val="24"/>
          <w:szCs w:val="24"/>
        </w:rPr>
        <w:t xml:space="preserve">sks include; </w:t>
      </w: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Health Hazard</w:t>
      </w:r>
      <w:r>
        <w:rPr>
          <w:rFonts w:ascii="Times New Roman" w:cs="Times New Roman" w:hAnsi="Times New Roman"/>
          <w:sz w:val="24"/>
          <w:szCs w:val="24"/>
        </w:rPr>
        <w:t xml:space="preserve"> (The University of Nottingham, 2012)</w:t>
      </w:r>
      <w:r>
        <w:rPr>
          <w:rFonts w:ascii="Times New Roman" w:cs="Times New Roman" w:hAnsi="Times New Roman"/>
          <w:b/>
          <w:sz w:val="24"/>
          <w:szCs w:val="24"/>
        </w:rPr>
        <w:t>;</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174"/>
        <w:gridCol w:w="2339"/>
        <w:gridCol w:w="1754"/>
        <w:gridCol w:w="1960"/>
      </w:tblGrid>
      <w:tr>
        <w:trPr>
          <w:trHeight w:val="315" w:hRule="atLeast"/>
        </w:trPr>
        <w:tc>
          <w:tcPr>
            <w:tcW w:w="1571"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Threats</w:t>
            </w:r>
          </w:p>
        </w:tc>
        <w:tc>
          <w:tcPr>
            <w:tcW w:w="2207"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Preventions</w:t>
            </w:r>
          </w:p>
        </w:tc>
        <w:tc>
          <w:tcPr>
            <w:tcW w:w="2383"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Hazardous</w:t>
            </w:r>
          </w:p>
        </w:tc>
        <w:tc>
          <w:tcPr>
            <w:tcW w:w="1669"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Recovery</w:t>
            </w:r>
          </w:p>
        </w:tc>
        <w:tc>
          <w:tcPr>
            <w:tcW w:w="1966" w:type="dxa"/>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Consequences</w:t>
            </w:r>
          </w:p>
        </w:tc>
      </w:tr>
      <w:tr>
        <w:tblPrEx/>
        <w:trPr>
          <w:trHeight w:val="1136" w:hRule="atLeast"/>
        </w:trPr>
        <w:tc>
          <w:tcPr>
            <w:tcW w:w="1571"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2207"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In-house radiation safety</w:t>
            </w:r>
          </w:p>
        </w:tc>
        <w:tc>
          <w:tcPr>
            <w:tcW w:w="2383"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669" w:type="dxa"/>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Wearing clothing gears to prevent direct contact</w:t>
            </w:r>
          </w:p>
        </w:tc>
        <w:tc>
          <w:tcPr>
            <w:tcW w:w="1966" w:type="dxa"/>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Long term Sickness</w:t>
            </w:r>
          </w:p>
        </w:tc>
      </w:tr>
      <w:tr>
        <w:tblPrEx/>
        <w:trPr>
          <w:trHeight w:val="1890" w:hRule="atLeast"/>
        </w:trPr>
        <w:tc>
          <w:tcPr>
            <w:tcW w:w="1571" w:type="dxa"/>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radioactive components</w:t>
            </w:r>
          </w:p>
        </w:tc>
        <w:tc>
          <w:tcPr>
            <w:tcW w:w="2207"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2383" w:type="dxa"/>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Radiation-the</w:t>
            </w:r>
            <w:r>
              <w:rPr>
                <w:rFonts w:ascii="Times New Roman" w:cs="Times New Roman" w:eastAsia="Times New Roman" w:hAnsi="Times New Roman"/>
                <w:b/>
                <w:bCs/>
                <w:color w:val="000000"/>
                <w:sz w:val="24"/>
                <w:szCs w:val="24"/>
              </w:rPr>
              <w:t xml:space="preserve"> scanner unit contain radioactive component and during installation people might be in direct contact with it. </w:t>
            </w:r>
          </w:p>
        </w:tc>
        <w:tc>
          <w:tcPr>
            <w:tcW w:w="1669" w:type="dxa"/>
            <w:tcBorders/>
            <w:shd w:val="clear" w:color="auto" w:fill="auto"/>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Avoid contact with the contamination</w:t>
            </w:r>
          </w:p>
        </w:tc>
        <w:tc>
          <w:tcPr>
            <w:tcW w:w="1966" w:type="dxa"/>
            <w:tcBorders/>
            <w:shd w:val="clear" w:color="auto" w:fill="auto"/>
            <w:noWrap/>
            <w:vAlign w:val="bottom"/>
            <w:hideMark/>
          </w:tcPr>
          <w:p>
            <w:pPr>
              <w:pStyle w:val="style0"/>
              <w:spacing w:after="0" w:lineRule="auto" w:line="240"/>
              <w:rPr>
                <w:rFonts w:ascii="Times New Roman" w:cs="Times New Roman" w:eastAsia="Times New Roman" w:hAnsi="Times New Roman"/>
                <w:color w:val="000000"/>
                <w:sz w:val="24"/>
                <w:szCs w:val="24"/>
              </w:rPr>
            </w:pPr>
          </w:p>
        </w:tc>
      </w:tr>
      <w:tr>
        <w:tblPrEx/>
        <w:trPr>
          <w:trHeight w:val="2205" w:hRule="atLeast"/>
        </w:trPr>
        <w:tc>
          <w:tcPr>
            <w:tcW w:w="1571"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p>
        </w:tc>
        <w:tc>
          <w:tcPr>
            <w:tcW w:w="2207"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Radiation training safety measures</w:t>
            </w:r>
          </w:p>
        </w:tc>
        <w:tc>
          <w:tcPr>
            <w:tcW w:w="2383" w:type="dxa"/>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p>
        </w:tc>
        <w:tc>
          <w:tcPr>
            <w:tcW w:w="1669" w:type="dxa"/>
            <w:tcBorders/>
            <w:shd w:val="clear" w:color="auto" w:fill="auto"/>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Use time, distance, shielding, and containment to reduce exposure</w:t>
            </w:r>
          </w:p>
        </w:tc>
        <w:tc>
          <w:tcPr>
            <w:tcW w:w="1966" w:type="dxa"/>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Death of the employee </w:t>
            </w:r>
          </w:p>
        </w:tc>
      </w:tr>
    </w:tbl>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 xml:space="preserve">Transportation risk </w:t>
      </w:r>
      <w:r>
        <w:rPr>
          <w:rFonts w:ascii="Times New Roman" w:cs="Times New Roman" w:hAnsi="Times New Roman"/>
          <w:sz w:val="24"/>
          <w:szCs w:val="24"/>
        </w:rPr>
        <w:t>(Croner-i Limited, 2020);</w:t>
      </w:r>
    </w:p>
    <w:tbl>
      <w:tblPr>
        <w:tblW w:w="9064" w:type="dxa"/>
        <w:tblInd w:w="93" w:type="dxa"/>
        <w:tblLook w:val="04A0" w:firstRow="1" w:lastRow="0" w:firstColumn="1" w:lastColumn="0" w:noHBand="0" w:noVBand="1"/>
      </w:tblPr>
      <w:tblGrid>
        <w:gridCol w:w="1324"/>
        <w:gridCol w:w="2049"/>
        <w:gridCol w:w="2090"/>
        <w:gridCol w:w="1258"/>
        <w:gridCol w:w="2345"/>
      </w:tblGrid>
      <w:tr>
        <w:trPr>
          <w:trHeight w:val="315" w:hRule="atLeast"/>
        </w:trPr>
        <w:tc>
          <w:tcPr>
            <w:tcW w:w="1484" w:type="dxa"/>
            <w:tcBorders>
              <w:top w:val="single" w:sz="4" w:space="0" w:color="auto"/>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Threats</w:t>
            </w:r>
          </w:p>
        </w:tc>
        <w:tc>
          <w:tcPr>
            <w:tcW w:w="248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Preventions</w:t>
            </w:r>
          </w:p>
        </w:tc>
        <w:tc>
          <w:tcPr>
            <w:tcW w:w="244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Hazardous</w:t>
            </w:r>
          </w:p>
        </w:tc>
        <w:tc>
          <w:tcPr>
            <w:tcW w:w="118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Recovery</w:t>
            </w:r>
          </w:p>
        </w:tc>
        <w:tc>
          <w:tcPr>
            <w:tcW w:w="1480" w:type="dxa"/>
            <w:tcBorders>
              <w:top w:val="single" w:sz="4" w:space="0" w:color="auto"/>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Consequences</w:t>
            </w:r>
          </w:p>
        </w:tc>
      </w:tr>
      <w:tr>
        <w:tblPrEx/>
        <w:trPr>
          <w:trHeight w:val="1260" w:hRule="atLeast"/>
        </w:trPr>
        <w:tc>
          <w:tcPr>
            <w:tcW w:w="1484" w:type="dxa"/>
            <w:tcBorders>
              <w:top w:val="nil"/>
              <w:left w:val="single" w:sz="4" w:space="0" w:color="auto"/>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1a1915"/>
                <w:sz w:val="24"/>
                <w:szCs w:val="24"/>
              </w:rPr>
            </w:pPr>
            <w:r>
              <w:rPr>
                <w:rFonts w:ascii="Times New Roman" w:cs="Times New Roman" w:eastAsia="Times New Roman" w:hAnsi="Times New Roman"/>
                <w:color w:val="1a1915"/>
                <w:sz w:val="24"/>
                <w:szCs w:val="24"/>
              </w:rPr>
              <w:t>Reduced visibility</w:t>
            </w:r>
          </w:p>
        </w:tc>
        <w:tc>
          <w:tcPr>
            <w:tcW w:w="2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Look out for signs warning of adverse conditions </w:t>
            </w:r>
          </w:p>
        </w:tc>
        <w:tc>
          <w:tcPr>
            <w:tcW w:w="244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pre-deliver the inventory </w:t>
            </w:r>
          </w:p>
        </w:tc>
        <w:tc>
          <w:tcPr>
            <w:tcW w:w="1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delay in delivery</w:t>
            </w:r>
            <w:r>
              <w:rPr>
                <w:rFonts w:ascii="Times New Roman" w:cs="Times New Roman" w:eastAsia="Times New Roman" w:hAnsi="Times New Roman"/>
                <w:color w:val="000000"/>
                <w:sz w:val="24"/>
                <w:szCs w:val="24"/>
              </w:rPr>
              <w:t xml:space="preserve"> of the repaired CSI</w:t>
            </w:r>
          </w:p>
        </w:tc>
      </w:tr>
      <w:tr>
        <w:tblPrEx/>
        <w:trPr>
          <w:trHeight w:val="1575" w:hRule="atLeast"/>
        </w:trPr>
        <w:tc>
          <w:tcPr>
            <w:tcW w:w="1484" w:type="dxa"/>
            <w:tcBorders>
              <w:top w:val="nil"/>
              <w:left w:val="single" w:sz="4" w:space="0" w:color="auto"/>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Reduced steering ability</w:t>
            </w:r>
          </w:p>
        </w:tc>
        <w:tc>
          <w:tcPr>
            <w:tcW w:w="2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Clear communication on both ends of the company if transportation is necessary</w:t>
            </w:r>
          </w:p>
        </w:tc>
        <w:tc>
          <w:tcPr>
            <w:tcW w:w="2440" w:type="dxa"/>
            <w:tcBorders>
              <w:top w:val="nil"/>
              <w:left w:val="nil"/>
              <w:bottom w:val="nil"/>
              <w:right w:val="nil"/>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p>
        </w:tc>
        <w:tc>
          <w:tcPr>
            <w:tcW w:w="1180" w:type="dxa"/>
            <w:tcBorders>
              <w:top w:val="nil"/>
              <w:left w:val="single" w:sz="4" w:space="0" w:color="auto"/>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take cover insurance on the Scanner units</w:t>
            </w:r>
          </w:p>
        </w:tc>
        <w:tc>
          <w:tcPr>
            <w:tcW w:w="1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the scanner unit destroyed</w:t>
            </w:r>
          </w:p>
        </w:tc>
      </w:tr>
      <w:tr>
        <w:tblPrEx/>
        <w:trPr>
          <w:trHeight w:val="1890" w:hRule="atLeast"/>
        </w:trPr>
        <w:tc>
          <w:tcPr>
            <w:tcW w:w="1484" w:type="dxa"/>
            <w:tcBorders>
              <w:top w:val="nil"/>
              <w:left w:val="single" w:sz="4" w:space="0" w:color="auto"/>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Increased time and space required to stop the vehicle</w:t>
            </w:r>
          </w:p>
        </w:tc>
        <w:tc>
          <w:tcPr>
            <w:tcW w:w="2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Maintain road safety guidelines</w:t>
            </w:r>
          </w:p>
        </w:tc>
        <w:tc>
          <w:tcPr>
            <w:tcW w:w="2440" w:type="dxa"/>
            <w:tcBorders>
              <w:top w:val="single" w:sz="4" w:space="0" w:color="auto"/>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Weather-poor weather condition to transport/Brexit</w:t>
            </w:r>
          </w:p>
        </w:tc>
        <w:tc>
          <w:tcPr>
            <w:tcW w:w="11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Wear favorable driving gears and observe traffic rules</w:t>
            </w:r>
          </w:p>
        </w:tc>
        <w:tc>
          <w:tcPr>
            <w:tcW w:w="1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injury of the driver</w:t>
            </w:r>
          </w:p>
        </w:tc>
      </w:tr>
      <w:tr>
        <w:tblPrEx/>
        <w:trPr>
          <w:trHeight w:val="315" w:hRule="atLeast"/>
        </w:trPr>
        <w:tc>
          <w:tcPr>
            <w:tcW w:w="148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Loss of control</w:t>
            </w:r>
          </w:p>
        </w:tc>
        <w:tc>
          <w:tcPr>
            <w:tcW w:w="2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Maintain road safety guidelines</w:t>
            </w:r>
          </w:p>
        </w:tc>
        <w:tc>
          <w:tcPr>
            <w:tcW w:w="244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color w:val="202124"/>
                <w:sz w:val="24"/>
                <w:szCs w:val="24"/>
              </w:rPr>
              <w:t xml:space="preserve">Wear favorable driving gears and observe </w:t>
            </w:r>
            <w:r>
              <w:rPr>
                <w:rFonts w:ascii="Times New Roman" w:cs="Times New Roman" w:eastAsia="Times New Roman" w:hAnsi="Times New Roman"/>
                <w:color w:val="202124"/>
                <w:sz w:val="24"/>
                <w:szCs w:val="24"/>
              </w:rPr>
              <w:t>traffic rules</w:t>
            </w:r>
          </w:p>
        </w:tc>
        <w:tc>
          <w:tcPr>
            <w:tcW w:w="1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Road accident</w:t>
            </w:r>
          </w:p>
        </w:tc>
      </w:tr>
      <w:tr>
        <w:tblPrEx/>
        <w:trPr>
          <w:trHeight w:val="945" w:hRule="atLeast"/>
        </w:trPr>
        <w:tc>
          <w:tcPr>
            <w:tcW w:w="148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Over speeding </w:t>
            </w:r>
          </w:p>
        </w:tc>
        <w:tc>
          <w:tcPr>
            <w:tcW w:w="2480" w:type="dxa"/>
            <w:tcBorders>
              <w:top w:val="nil"/>
              <w:left w:val="nil"/>
              <w:bottom w:val="single" w:sz="4" w:space="0" w:color="auto"/>
              <w:right w:val="single" w:sz="4" w:space="0" w:color="auto"/>
            </w:tcBorders>
            <w:shd w:val="clear" w:color="auto" w:fill="auto"/>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Control by GPRS with respects to the speed limit</w:t>
            </w:r>
          </w:p>
        </w:tc>
        <w:tc>
          <w:tcPr>
            <w:tcW w:w="244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color w:val="202124"/>
                <w:sz w:val="24"/>
                <w:szCs w:val="24"/>
              </w:rPr>
              <w:t>take cover insurance on the Scanner units</w:t>
            </w:r>
          </w:p>
        </w:tc>
        <w:tc>
          <w:tcPr>
            <w:tcW w:w="1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delay in delivery/destruction of the repaired CSI</w:t>
            </w:r>
          </w:p>
        </w:tc>
      </w:tr>
      <w:tr>
        <w:tblPrEx/>
        <w:trPr>
          <w:trHeight w:val="315" w:hRule="atLeast"/>
        </w:trPr>
        <w:tc>
          <w:tcPr>
            <w:tcW w:w="148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Drivers fatigue</w:t>
            </w:r>
          </w:p>
        </w:tc>
        <w:tc>
          <w:tcPr>
            <w:tcW w:w="2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Have more than one driver for ease of </w:t>
            </w:r>
            <w:r>
              <w:rPr>
                <w:rFonts w:ascii="Times New Roman" w:cs="Times New Roman" w:eastAsia="Times New Roman" w:hAnsi="Times New Roman"/>
                <w:color w:val="000000"/>
                <w:sz w:val="24"/>
                <w:szCs w:val="24"/>
              </w:rPr>
              <w:t>transportation</w:t>
            </w:r>
          </w:p>
        </w:tc>
        <w:tc>
          <w:tcPr>
            <w:tcW w:w="244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color w:val="202124"/>
                <w:sz w:val="24"/>
                <w:szCs w:val="24"/>
              </w:rPr>
              <w:t>take cover insurance on the Scanner units</w:t>
            </w:r>
          </w:p>
        </w:tc>
        <w:tc>
          <w:tcPr>
            <w:tcW w:w="1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Road accident/death of the driver</w:t>
            </w:r>
          </w:p>
        </w:tc>
      </w:tr>
      <w:tr>
        <w:tblPrEx/>
        <w:trPr>
          <w:trHeight w:val="315" w:hRule="atLeast"/>
        </w:trPr>
        <w:tc>
          <w:tcPr>
            <w:tcW w:w="1484" w:type="dxa"/>
            <w:tcBorders>
              <w:top w:val="nil"/>
              <w:left w:val="single" w:sz="4" w:space="0" w:color="auto"/>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Road blocks</w:t>
            </w:r>
          </w:p>
        </w:tc>
        <w:tc>
          <w:tcPr>
            <w:tcW w:w="2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Have the proper documents required after brexit</w:t>
            </w:r>
          </w:p>
        </w:tc>
        <w:tc>
          <w:tcPr>
            <w:tcW w:w="244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1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p>
        </w:tc>
        <w:tc>
          <w:tcPr>
            <w:tcW w:w="1480" w:type="dxa"/>
            <w:tcBorders>
              <w:top w:val="nil"/>
              <w:left w:val="nil"/>
              <w:bottom w:val="single" w:sz="4" w:space="0" w:color="auto"/>
              <w:right w:val="single" w:sz="4" w:space="0" w:color="auto"/>
            </w:tcBorders>
            <w:shd w:val="clear" w:color="auto" w:fill="auto"/>
            <w:noWrap/>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delay in delivery of the repaired CSI</w:t>
            </w:r>
          </w:p>
        </w:tc>
      </w:tr>
    </w:tbl>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b/>
          <w:sz w:val="24"/>
          <w:szCs w:val="24"/>
        </w:rPr>
      </w:pPr>
      <w:r>
        <w:rPr>
          <w:rFonts w:ascii="Times New Roman" w:cs="Times New Roman" w:hAnsi="Times New Roman"/>
          <w:b/>
          <w:sz w:val="24"/>
          <w:szCs w:val="24"/>
        </w:rPr>
        <w:t>Quantitative technique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Since the Managing Director </w:t>
      </w:r>
      <w:r>
        <w:rPr>
          <w:rFonts w:ascii="Times New Roman" w:cs="Times New Roman" w:hAnsi="Times New Roman"/>
          <w:sz w:val="24"/>
          <w:szCs w:val="24"/>
        </w:rPr>
        <w:t>needs more insight concerning the likelihood of finishing the undertaking on time and within budget. Then the best technique to use is Expected Monetary Value (EMV)</w:t>
      </w:r>
      <w:r>
        <w:t xml:space="preserve"> (Gump, 2001)</w:t>
      </w:r>
      <w:r>
        <w:rPr>
          <w:rFonts w:ascii="Times New Roman" w:cs="Times New Roman" w:hAnsi="Times New Roman"/>
          <w:sz w:val="24"/>
          <w:szCs w:val="24"/>
        </w:rPr>
        <w:t>, a strategy used to build up the possibility saves for a task spending plan an</w:t>
      </w:r>
      <w:r>
        <w:rPr>
          <w:rFonts w:ascii="Times New Roman" w:cs="Times New Roman" w:hAnsi="Times New Roman"/>
          <w:sz w:val="24"/>
          <w:szCs w:val="24"/>
        </w:rPr>
        <w:t xml:space="preserve">d a timeline. The formula is Expected Monetary Value = Probability x Impact. This will counter the brexit among other risks. The table below will monetize the risk identified from the bow-tie risk analysis. </w:t>
      </w:r>
    </w:p>
    <w:p>
      <w:pPr>
        <w:pStyle w:val="style0"/>
        <w:spacing w:after="0" w:lineRule="auto" w:line="240"/>
        <w:rPr>
          <w:rFonts w:cs="Calibri" w:eastAsia="Times New Roman"/>
          <w:color w:val="000000"/>
        </w:rPr>
        <w:sectPr>
          <w:headerReference w:type="default" r:id="rId2"/>
          <w:headerReference w:type="first" r:id="rId3"/>
          <w:pgSz w:w="12240" w:h="15840" w:orient="portrait"/>
          <w:pgMar w:top="1440" w:right="1440" w:bottom="1440" w:left="1440" w:header="720" w:footer="720" w:gutter="0"/>
          <w:cols w:space="720"/>
          <w:titlePg/>
          <w:docGrid w:linePitch="360"/>
        </w:sectPr>
      </w:pPr>
    </w:p>
    <w:tbl>
      <w:tblPr>
        <w:tblW w:w="12348" w:type="dxa"/>
        <w:tblInd w:w="93" w:type="dxa"/>
        <w:tblLayout w:type="fixed"/>
        <w:tblLook w:val="04A0" w:firstRow="1" w:lastRow="0" w:firstColumn="1" w:lastColumn="0" w:noHBand="0" w:noVBand="1"/>
      </w:tblPr>
      <w:tblGrid>
        <w:gridCol w:w="1756"/>
        <w:gridCol w:w="1876"/>
        <w:gridCol w:w="915"/>
        <w:gridCol w:w="1280"/>
        <w:gridCol w:w="1134"/>
        <w:gridCol w:w="1418"/>
        <w:gridCol w:w="1701"/>
        <w:gridCol w:w="2268"/>
      </w:tblGrid>
      <w:tr>
        <w:trPr>
          <w:trHeight w:val="615" w:hRule="atLeast"/>
        </w:trPr>
        <w:tc>
          <w:tcPr>
            <w:tcW w:w="1756" w:type="dxa"/>
            <w:tcBorders>
              <w:top w:val="single" w:sz="8" w:space="0" w:color="auto"/>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w:t>
            </w:r>
          </w:p>
        </w:tc>
        <w:tc>
          <w:tcPr>
            <w:tcW w:w="1876" w:type="dxa"/>
            <w:tcBorders>
              <w:top w:val="single" w:sz="8" w:space="0" w:color="auto"/>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w:t>
            </w:r>
          </w:p>
        </w:tc>
        <w:tc>
          <w:tcPr>
            <w:tcW w:w="2195" w:type="dxa"/>
            <w:gridSpan w:val="2"/>
            <w:tcBorders>
              <w:top w:val="single" w:sz="8" w:space="0" w:color="auto"/>
              <w:left w:val="nil"/>
              <w:bottom w:val="single" w:sz="8" w:space="0" w:color="auto"/>
              <w:right w:val="single" w:sz="8" w:space="0" w:color="000000"/>
            </w:tcBorders>
            <w:shd w:val="clear" w:color="auto" w:fill="auto"/>
            <w:vAlign w:val="center"/>
            <w:hideMark/>
          </w:tcPr>
          <w:p>
            <w:pPr>
              <w:pStyle w:val="style0"/>
              <w:spacing w:after="0" w:lineRule="auto" w:line="240"/>
              <w:jc w:val="center"/>
              <w:rPr>
                <w:rFonts w:cs="Calibri" w:eastAsia="Times New Roman"/>
                <w:b/>
                <w:bCs/>
                <w:color w:val="000000"/>
              </w:rPr>
            </w:pPr>
            <w:r>
              <w:rPr>
                <w:rFonts w:cs="Calibri" w:eastAsia="Times New Roman"/>
                <w:b/>
                <w:bCs/>
                <w:color w:val="000000"/>
              </w:rPr>
              <w:t>Probability</w:t>
            </w:r>
          </w:p>
        </w:tc>
        <w:tc>
          <w:tcPr>
            <w:tcW w:w="2552" w:type="dxa"/>
            <w:gridSpan w:val="2"/>
            <w:tcBorders>
              <w:top w:val="single" w:sz="8" w:space="0" w:color="auto"/>
              <w:left w:val="nil"/>
              <w:bottom w:val="single" w:sz="8" w:space="0" w:color="auto"/>
              <w:right w:val="single" w:sz="8" w:space="0" w:color="000000"/>
            </w:tcBorders>
            <w:shd w:val="clear" w:color="auto" w:fill="auto"/>
            <w:vAlign w:val="center"/>
            <w:hideMark/>
          </w:tcPr>
          <w:p>
            <w:pPr>
              <w:pStyle w:val="style0"/>
              <w:spacing w:after="0" w:lineRule="auto" w:line="240"/>
              <w:jc w:val="center"/>
              <w:rPr>
                <w:rFonts w:cs="Calibri" w:eastAsia="Times New Roman"/>
                <w:b/>
                <w:bCs/>
                <w:color w:val="000000"/>
              </w:rPr>
            </w:pPr>
            <w:r>
              <w:rPr>
                <w:rFonts w:cs="Calibri" w:eastAsia="Times New Roman"/>
                <w:b/>
                <w:bCs/>
                <w:color w:val="000000"/>
              </w:rPr>
              <w:t>IMPACT</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EMV</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cs="Calibri" w:eastAsia="Times New Roman"/>
                <w:b/>
                <w:bCs/>
                <w:color w:val="000000"/>
              </w:rPr>
            </w:pPr>
            <w:r>
              <w:rPr>
                <w:rFonts w:cs="Calibri" w:eastAsia="Times New Roman"/>
                <w:b/>
                <w:bCs/>
                <w:color w:val="000000"/>
              </w:rPr>
              <w:t>Risk Response</w:t>
            </w:r>
          </w:p>
        </w:tc>
      </w:tr>
      <w:tr>
        <w:tblPrEx/>
        <w:trPr>
          <w:trHeight w:val="645"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Risk Description</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Date</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L/M/H</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Days</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Cost</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b/>
                <w:bCs/>
                <w:color w:val="000000"/>
              </w:rPr>
            </w:pPr>
            <w:r>
              <w:rPr>
                <w:rFonts w:cs="Calibri" w:eastAsia="Times New Roman"/>
                <w:b/>
                <w:bCs/>
                <w:color w:val="000000"/>
              </w:rPr>
              <w:t>Cost</w:t>
            </w:r>
          </w:p>
        </w:tc>
        <w:tc>
          <w:tcPr>
            <w:tcW w:w="2268" w:type="dxa"/>
            <w:vMerge w:val="continue"/>
            <w:tcBorders>
              <w:top w:val="single" w:sz="8" w:space="0" w:color="auto"/>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b/>
                <w:bCs/>
                <w:color w:val="000000"/>
              </w:rPr>
            </w:pPr>
          </w:p>
        </w:tc>
      </w:tr>
      <w:tr>
        <w:tblPrEx/>
        <w:trPr>
          <w:trHeight w:val="1275" w:hRule="atLeast"/>
        </w:trPr>
        <w:tc>
          <w:tcPr>
            <w:tcW w:w="1756"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Radioactive components</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cs="Calibri" w:eastAsia="Times New Roman"/>
                <w:color w:val="000000"/>
              </w:rPr>
            </w:pPr>
            <w:r>
              <w:rPr>
                <w:rFonts w:cs="Calibri" w:eastAsia="Times New Roman"/>
                <w:color w:val="000000"/>
              </w:rPr>
              <w:t>Continuous on the scanner production</w:t>
            </w:r>
          </w:p>
        </w:tc>
        <w:tc>
          <w:tcPr>
            <w:tcW w:w="915"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cs="Calibri" w:eastAsia="Times New Roman"/>
                <w:color w:val="000000"/>
              </w:rPr>
            </w:pPr>
            <w:r>
              <w:rPr>
                <w:rFonts w:cs="Calibri" w:eastAsia="Times New Roman"/>
                <w:color w:val="000000"/>
              </w:rPr>
              <w:t>90</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cs="Calibri" w:eastAsia="Times New Roman"/>
                <w:color w:val="000000"/>
              </w:rPr>
            </w:pPr>
            <w:r>
              <w:rPr>
                <w:rFonts w:cs="Calibri" w:eastAsia="Times New Roman"/>
                <w:color w:val="000000"/>
              </w:rPr>
              <w:t>H</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cs="Calibri" w:eastAsia="Times New Roman"/>
                <w:color w:val="000000"/>
              </w:rPr>
            </w:pPr>
            <w:r>
              <w:rPr>
                <w:rFonts w:cs="Calibri" w:eastAsia="Times New Roman"/>
                <w:color w:val="000000"/>
              </w:rPr>
              <w:t>Continuous on the scanner production</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pPr>
              <w:pStyle w:val="style0"/>
              <w:spacing w:after="0" w:lineRule="auto" w:line="240"/>
              <w:jc w:val="center"/>
              <w:rPr>
                <w:rFonts w:cs="Calibri" w:eastAsia="Times New Roman"/>
                <w:color w:val="000000"/>
              </w:rPr>
            </w:pPr>
            <w:r>
              <w:rPr>
                <w:rFonts w:cs="Calibri" w:eastAsia="Times New Roman"/>
                <w:color w:val="000000"/>
              </w:rPr>
              <w:t xml:space="preserve"> £13,500.00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Wearing clothing gears to prevent direct contact</w:t>
            </w:r>
          </w:p>
        </w:tc>
      </w:tr>
      <w:tr>
        <w:tblPrEx/>
        <w:trPr>
          <w:trHeight w:val="960" w:hRule="atLeast"/>
        </w:trPr>
        <w:tc>
          <w:tcPr>
            <w:tcW w:w="1756"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876"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915"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1280"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1134"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1418"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701"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Avoid contact with the contamination</w:t>
            </w:r>
          </w:p>
        </w:tc>
      </w:tr>
      <w:tr>
        <w:tblPrEx/>
        <w:trPr>
          <w:trHeight w:val="1905" w:hRule="atLeast"/>
        </w:trPr>
        <w:tc>
          <w:tcPr>
            <w:tcW w:w="1756"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876"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915"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1280"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1134"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1418"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ascii="Times New Roman" w:cs="Times New Roman" w:eastAsia="Times New Roman" w:hAnsi="Times New Roman"/>
                <w:color w:val="000000"/>
                <w:sz w:val="24"/>
                <w:szCs w:val="24"/>
              </w:rPr>
            </w:pPr>
          </w:p>
        </w:tc>
        <w:tc>
          <w:tcPr>
            <w:tcW w:w="1701" w:type="dxa"/>
            <w:vMerge w:val="continue"/>
            <w:tcBorders>
              <w:top w:val="nil"/>
              <w:left w:val="single" w:sz="8" w:space="0" w:color="auto"/>
              <w:bottom w:val="single" w:sz="8" w:space="0" w:color="000000"/>
              <w:right w:val="single" w:sz="8" w:space="0" w:color="auto"/>
            </w:tcBorders>
            <w:vAlign w:val="center"/>
            <w:hideMark/>
          </w:tcPr>
          <w:p>
            <w:pPr>
              <w:pStyle w:val="style0"/>
              <w:spacing w:after="0" w:lineRule="auto" w:line="240"/>
              <w:rPr>
                <w:rFonts w:cs="Calibri" w:eastAsia="Times New Roman"/>
                <w:color w:val="000000"/>
              </w:rPr>
            </w:pP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Use time, distance, shielding, and containment to reduce exposure</w:t>
            </w:r>
          </w:p>
        </w:tc>
      </w:tr>
      <w:tr>
        <w:tblPrEx/>
        <w:trPr>
          <w:trHeight w:val="645"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1a1915"/>
                <w:sz w:val="24"/>
                <w:szCs w:val="24"/>
              </w:rPr>
            </w:pPr>
            <w:r>
              <w:rPr>
                <w:rFonts w:ascii="Times New Roman" w:cs="Times New Roman" w:eastAsia="Times New Roman" w:hAnsi="Times New Roman"/>
                <w:color w:val="1a1915"/>
                <w:sz w:val="24"/>
                <w:szCs w:val="24"/>
              </w:rPr>
              <w:t>Reduced visibility</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21/12/2020</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60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H</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83</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   9,000.00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pre-deliver the inventory </w:t>
            </w:r>
          </w:p>
        </w:tc>
      </w:tr>
      <w:tr>
        <w:tblPrEx/>
        <w:trPr>
          <w:trHeight w:val="1275"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Reduced steering ability</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21/12/2020</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40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M</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83</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   6,000.00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take cover insurance on the Scanner units</w:t>
            </w:r>
          </w:p>
        </w:tc>
      </w:tr>
      <w:tr>
        <w:tblPrEx/>
        <w:trPr>
          <w:trHeight w:val="1590"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Increased time and space required to stop the vehicle</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21/12/2021</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70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H</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83</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£10,500.00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202124"/>
                <w:sz w:val="24"/>
                <w:szCs w:val="24"/>
              </w:rPr>
            </w:pPr>
            <w:r>
              <w:rPr>
                <w:rFonts w:ascii="Times New Roman" w:cs="Times New Roman" w:eastAsia="Times New Roman" w:hAnsi="Times New Roman"/>
                <w:color w:val="202124"/>
                <w:sz w:val="24"/>
                <w:szCs w:val="24"/>
              </w:rPr>
              <w:t>Wear favorable driving gears and observe traffic rules</w:t>
            </w:r>
          </w:p>
        </w:tc>
      </w:tr>
      <w:tr>
        <w:tblPrEx/>
        <w:trPr>
          <w:trHeight w:val="1590"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Loss of control</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Continuous on road transportation</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60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M</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Continuous on road transportation</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   9,000.00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color w:val="202124"/>
                <w:sz w:val="24"/>
                <w:szCs w:val="24"/>
              </w:rPr>
              <w:t>Wear favorable driving gears and observe traffic rules</w:t>
            </w:r>
          </w:p>
        </w:tc>
      </w:tr>
      <w:tr>
        <w:tblPrEx/>
        <w:trPr>
          <w:trHeight w:val="1275"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Over speeding </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Continuous on road transportation</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10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M</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Continuous on road transportation</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   1,500.00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color w:val="202124"/>
                <w:sz w:val="24"/>
                <w:szCs w:val="24"/>
              </w:rPr>
              <w:t>take cover insurance on the Scanner units</w:t>
            </w:r>
            <w:bookmarkStart w:id="0" w:name="_GoBack"/>
            <w:bookmarkEnd w:id="0"/>
          </w:p>
        </w:tc>
      </w:tr>
      <w:tr>
        <w:tblPrEx/>
        <w:trPr>
          <w:trHeight w:val="1275"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Drivers fatigue</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Continuous on road transportation</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80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M</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Continuous on road transportation</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£12,000.00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w:t>
            </w:r>
            <w:r>
              <w:rPr>
                <w:rFonts w:ascii="Times New Roman" w:cs="Times New Roman" w:eastAsia="Times New Roman" w:hAnsi="Times New Roman"/>
                <w:color w:val="202124"/>
                <w:sz w:val="24"/>
                <w:szCs w:val="24"/>
              </w:rPr>
              <w:t>take cover insurance on the Scanner units</w:t>
            </w:r>
          </w:p>
        </w:tc>
      </w:tr>
      <w:tr>
        <w:tblPrEx/>
        <w:trPr>
          <w:trHeight w:val="1590" w:hRule="atLeast"/>
        </w:trPr>
        <w:tc>
          <w:tcPr>
            <w:tcW w:w="1756" w:type="dxa"/>
            <w:tcBorders>
              <w:top w:val="nil"/>
              <w:left w:val="single" w:sz="8" w:space="0" w:color="auto"/>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Road blocks</w:t>
            </w:r>
          </w:p>
        </w:tc>
        <w:tc>
          <w:tcPr>
            <w:tcW w:w="1876"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1/2/2020</w:t>
            </w:r>
          </w:p>
        </w:tc>
        <w:tc>
          <w:tcPr>
            <w:tcW w:w="915"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jc w:val="right"/>
              <w:rPr>
                <w:rFonts w:cs="Calibri" w:eastAsia="Times New Roman"/>
                <w:color w:val="000000"/>
              </w:rPr>
            </w:pPr>
            <w:r>
              <w:rPr>
                <w:rFonts w:cs="Calibri" w:eastAsia="Times New Roman"/>
                <w:color w:val="000000"/>
              </w:rPr>
              <w:t>100</w:t>
            </w:r>
          </w:p>
        </w:tc>
        <w:tc>
          <w:tcPr>
            <w:tcW w:w="1280"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H</w:t>
            </w:r>
          </w:p>
        </w:tc>
        <w:tc>
          <w:tcPr>
            <w:tcW w:w="1134"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Not definite</w:t>
            </w:r>
          </w:p>
        </w:tc>
        <w:tc>
          <w:tcPr>
            <w:tcW w:w="141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 £ 15,000.00 </w:t>
            </w:r>
          </w:p>
        </w:tc>
        <w:tc>
          <w:tcPr>
            <w:tcW w:w="1701"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cs="Calibri" w:eastAsia="Times New Roman"/>
                <w:color w:val="000000"/>
              </w:rPr>
            </w:pPr>
            <w:r>
              <w:rPr>
                <w:rFonts w:cs="Calibri" w:eastAsia="Times New Roman"/>
                <w:color w:val="000000"/>
              </w:rPr>
              <w:t xml:space="preserve"> £15,000.00 </w:t>
            </w:r>
          </w:p>
        </w:tc>
        <w:tc>
          <w:tcPr>
            <w:tcW w:w="2268" w:type="dxa"/>
            <w:tcBorders>
              <w:top w:val="nil"/>
              <w:left w:val="nil"/>
              <w:bottom w:val="single" w:sz="8" w:space="0" w:color="auto"/>
              <w:right w:val="single" w:sz="8" w:space="0" w:color="auto"/>
            </w:tcBorders>
            <w:shd w:val="clear" w:color="auto" w:fill="auto"/>
            <w:vAlign w:val="center"/>
            <w:hideMark/>
          </w:tcPr>
          <w:p>
            <w:pPr>
              <w:pStyle w:val="style0"/>
              <w:spacing w:after="0" w:lineRule="auto" w:line="240"/>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Have the proper documents required after </w:t>
            </w:r>
            <w:r>
              <w:rPr>
                <w:rFonts w:ascii="Times New Roman" w:cs="Times New Roman" w:eastAsia="Times New Roman" w:hAnsi="Times New Roman"/>
                <w:color w:val="000000"/>
                <w:sz w:val="24"/>
                <w:szCs w:val="24"/>
              </w:rPr>
              <w:t>Brexit</w:t>
            </w:r>
          </w:p>
        </w:tc>
      </w:tr>
      <w:tr>
        <w:tblPrEx/>
        <w:trPr>
          <w:trHeight w:val="300" w:hRule="atLeast"/>
        </w:trPr>
        <w:tc>
          <w:tcPr>
            <w:tcW w:w="8379" w:type="dxa"/>
            <w:gridSpan w:val="6"/>
            <w:tcBorders>
              <w:top w:val="single" w:sz="8" w:space="0" w:color="auto"/>
              <w:left w:val="nil"/>
              <w:bottom w:val="nil"/>
              <w:right w:val="nil"/>
            </w:tcBorders>
            <w:shd w:val="clear" w:color="auto" w:fill="auto"/>
            <w:hideMark/>
          </w:tcPr>
          <w:p>
            <w:pPr>
              <w:pStyle w:val="style0"/>
              <w:spacing w:after="0" w:lineRule="auto" w:line="240"/>
              <w:jc w:val="right"/>
              <w:rPr>
                <w:rFonts w:cs="Calibri" w:eastAsia="Times New Roman"/>
                <w:b/>
                <w:bCs/>
                <w:color w:val="000000"/>
              </w:rPr>
            </w:pPr>
            <w:r>
              <w:rPr>
                <w:rFonts w:cs="Calibri" w:eastAsia="Times New Roman"/>
                <w:b/>
                <w:bCs/>
                <w:color w:val="000000"/>
              </w:rPr>
              <w:t>Total EMV</w:t>
            </w:r>
          </w:p>
        </w:tc>
        <w:tc>
          <w:tcPr>
            <w:tcW w:w="1701" w:type="dxa"/>
            <w:tcBorders>
              <w:top w:val="nil"/>
              <w:left w:val="nil"/>
              <w:bottom w:val="nil"/>
              <w:right w:val="nil"/>
            </w:tcBorders>
            <w:shd w:val="clear" w:color="auto" w:fill="auto"/>
            <w:hideMark/>
          </w:tcPr>
          <w:p>
            <w:pPr>
              <w:pStyle w:val="style0"/>
              <w:spacing w:after="0" w:lineRule="auto" w:line="240"/>
              <w:rPr>
                <w:rFonts w:cs="Calibri" w:eastAsia="Times New Roman"/>
                <w:b/>
                <w:color w:val="000000"/>
              </w:rPr>
            </w:pPr>
            <w:r>
              <w:rPr>
                <w:rFonts w:cs="Calibri" w:eastAsia="Times New Roman"/>
                <w:color w:val="000000"/>
              </w:rPr>
              <w:t xml:space="preserve"> </w:t>
            </w:r>
            <w:r>
              <w:rPr>
                <w:rFonts w:cs="Calibri" w:eastAsia="Times New Roman"/>
                <w:b/>
                <w:color w:val="000000"/>
              </w:rPr>
              <w:t xml:space="preserve">£76,500.00 </w:t>
            </w:r>
          </w:p>
        </w:tc>
        <w:tc>
          <w:tcPr>
            <w:tcW w:w="2268" w:type="dxa"/>
            <w:tcBorders>
              <w:top w:val="nil"/>
              <w:left w:val="nil"/>
              <w:bottom w:val="nil"/>
              <w:right w:val="nil"/>
            </w:tcBorders>
            <w:shd w:val="clear" w:color="auto" w:fill="auto"/>
            <w:hideMark/>
          </w:tcPr>
          <w:p>
            <w:pPr>
              <w:pStyle w:val="style0"/>
              <w:spacing w:after="0" w:lineRule="auto" w:line="240"/>
              <w:rPr>
                <w:rFonts w:cs="Calibri" w:eastAsia="Times New Roman"/>
                <w:color w:val="000000"/>
              </w:rPr>
            </w:pPr>
          </w:p>
        </w:tc>
      </w:tr>
    </w:tbl>
    <w:p>
      <w:pPr>
        <w:pStyle w:val="style0"/>
        <w:spacing w:lineRule="auto" w:line="480"/>
        <w:ind w:firstLine="720"/>
        <w:rPr>
          <w:rFonts w:ascii="Times New Roman" w:cs="Times New Roman" w:hAnsi="Times New Roman"/>
          <w:sz w:val="24"/>
          <w:szCs w:val="24"/>
        </w:rPr>
        <w:sectPr>
          <w:pgSz w:w="15840" w:h="12240" w:orient="landscape"/>
          <w:pgMar w:top="1440" w:right="1440" w:bottom="1440" w:left="1440" w:header="720" w:footer="720" w:gutter="0"/>
          <w:cols w:space="720"/>
          <w:titlePg/>
          <w:docGrid w:linePitch="360"/>
        </w:sectPr>
      </w:pPr>
    </w:p>
    <w:p>
      <w:pPr>
        <w:pStyle w:val="style0"/>
        <w:spacing w:lineRule="auto" w:line="480"/>
        <w:ind w:firstLine="720"/>
        <w:rPr>
          <w:rFonts w:ascii="Times New Roman" w:cs="Times New Roman" w:hAnsi="Times New Roman"/>
          <w:sz w:val="24"/>
          <w:szCs w:val="24"/>
        </w:rPr>
      </w:pP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Total EVM addresses the task hazard exposure and the measure of our Likelihood Backup</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94"/>
        <w:spacing w:lineRule="auto" w:line="480"/>
        <w:ind w:left="720" w:hanging="720"/>
        <w:rPr/>
      </w:pPr>
      <w:r>
        <w:t xml:space="preserve">Croner-i Limited. (2020). </w:t>
      </w:r>
      <w:r>
        <w:rPr>
          <w:i/>
          <w:iCs/>
        </w:rPr>
        <w:t>Risk Assessment in Road Transport Operations: In-depth</w:t>
      </w:r>
      <w:r>
        <w:t xml:space="preserve">. Croner-i. </w:t>
      </w:r>
      <w:r>
        <w:rPr/>
        <w:fldChar w:fldCharType="begin"/>
      </w:r>
      <w:r>
        <w:instrText xml:space="preserve"> HYPERLINK "https://app.croneri.co.uk/topics/risk-assessment-road-transport-operations/indepth?product=143" </w:instrText>
      </w:r>
      <w:r>
        <w:rPr/>
        <w:fldChar w:fldCharType="separate"/>
      </w:r>
      <w:r>
        <w:rPr>
          <w:rStyle w:val="style85"/>
        </w:rPr>
        <w:t>https://app.croneri.co.uk/topics/risk-assessment-road-tr</w:t>
      </w:r>
      <w:r>
        <w:rPr>
          <w:rStyle w:val="style85"/>
        </w:rPr>
        <w:t>ansport-operations/indepth?product=143</w:t>
      </w:r>
      <w:r>
        <w:rPr/>
        <w:fldChar w:fldCharType="end"/>
      </w:r>
    </w:p>
    <w:p>
      <w:pPr>
        <w:pStyle w:val="style94"/>
        <w:spacing w:lineRule="auto" w:line="480"/>
        <w:ind w:left="720" w:hanging="720"/>
        <w:rPr/>
      </w:pPr>
      <w:r>
        <w:t>Gump, A. (2001). https://www.projex.com/decision-tree-analysis-and-expected-monetary-value/. Pmi.Org. https://www.pmi.org/learning/library/expected-monetary-value-choices-risk-impact-3490</w:t>
      </w:r>
    </w:p>
    <w:p>
      <w:pPr>
        <w:pStyle w:val="style94"/>
        <w:spacing w:lineRule="auto" w:line="480"/>
        <w:ind w:left="720" w:hanging="720"/>
        <w:rPr/>
      </w:pPr>
      <w:r>
        <w:t>The University of Nottingh</w:t>
      </w:r>
      <w:r>
        <w:t xml:space="preserve">am. (2012). </w:t>
      </w:r>
      <w:r>
        <w:rPr>
          <w:i/>
          <w:iCs/>
        </w:rPr>
        <w:t>Risk Assessment for Radioactive Work</w:t>
      </w:r>
      <w:r>
        <w:t>. Nottingham.Ac.Uk. https://www.nottingham.ac.uk/safety/documents/rad-risk-assess.pdf</w:t>
      </w:r>
    </w:p>
    <w:p>
      <w:pPr>
        <w:pStyle w:val="style0"/>
        <w:spacing w:lineRule="auto" w:line="480"/>
        <w:ind w:firstLine="720"/>
        <w:rPr>
          <w:rFonts w:ascii="Times New Roman" w:cs="Times New Roman" w:hAnsi="Times New Roman"/>
          <w:sz w:val="24"/>
          <w:szCs w:val="24"/>
        </w:rPr>
      </w:pPr>
    </w:p>
    <w:sectPr>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RISK ASSESSMENT                                    </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59ae1fe-733a-4d17-a7d0-d12382d0b21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5a5cca3-179a-47b0-b169-6b0e502da14e"/>
    <w:basedOn w:val="style65"/>
    <w:next w:val="style4098"/>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718</Words>
  <Pages>8</Pages>
  <Characters>4373</Characters>
  <Application>WPS Office</Application>
  <DocSecurity>0</DocSecurity>
  <Paragraphs>224</Paragraphs>
  <ScaleCrop>false</ScaleCrop>
  <LinksUpToDate>false</LinksUpToDate>
  <CharactersWithSpaces>5143</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2021-04-14T11:09:03Z</dcterms:created>
  <dc:creator>User</dc:creator>
  <lastModifiedBy>SM-A515F</lastModifiedBy>
  <dcterms:modified xsi:type="dcterms:W3CDTF">2021-04-14T11:09:24Z</dcterms:modified>
  <revision>2</revision>
</coreProperties>
</file>

<file path=docProps/custom.xml><?xml version="1.0" encoding="utf-8"?>
<Properties xmlns="http://schemas.openxmlformats.org/officeDocument/2006/custom-properties" xmlns:vt="http://schemas.openxmlformats.org/officeDocument/2006/docPropsVTypes"/>
</file>